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A592" w14:textId="65361D5A" w:rsidR="00F02E79" w:rsidRPr="00F02E79" w:rsidRDefault="00F02E79" w:rsidP="00124E26">
      <w:pPr>
        <w:pStyle w:val="font7"/>
        <w:jc w:val="both"/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  <w:r w:rsidRPr="00F02E79">
        <w:rPr>
          <w:rFonts w:ascii="Arial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  <w:t>Curriculum Vitae</w:t>
      </w:r>
      <w:r w:rsidRPr="00F02E79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453E9BEF" w14:textId="04D95A08" w:rsidR="00124E26" w:rsidRPr="00F02E79" w:rsidRDefault="00124E26" w:rsidP="00124E26">
      <w:pPr>
        <w:pStyle w:val="font7"/>
        <w:jc w:val="both"/>
        <w:rPr>
          <w:rStyle w:val="wixguard"/>
          <w:rFonts w:ascii="Arial" w:hAnsi="Arial" w:cs="Arial"/>
          <w:b/>
          <w:bCs/>
          <w:i/>
          <w:iCs/>
          <w:sz w:val="22"/>
          <w:szCs w:val="22"/>
        </w:rPr>
      </w:pPr>
      <w:r w:rsidRPr="00F02E79">
        <w:rPr>
          <w:rStyle w:val="wixguard"/>
          <w:rFonts w:ascii="Arial" w:hAnsi="Arial" w:cs="Arial"/>
          <w:b/>
          <w:bCs/>
          <w:i/>
          <w:iCs/>
          <w:sz w:val="22"/>
          <w:szCs w:val="22"/>
        </w:rPr>
        <w:t>Current Work and Accreditations:</w:t>
      </w:r>
    </w:p>
    <w:p w14:paraId="0DF0F565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>Founder and owner of Legal Ink Law Corporation (2010 – current)</w:t>
      </w:r>
    </w:p>
    <w:p w14:paraId="7002E7CC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>Associate Mediator (under auspices of Singapore Mediation Centre) (2012 – current)</w:t>
      </w:r>
    </w:p>
    <w:p w14:paraId="3A838195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>Professional Deputy and Donor (under PDD Scheme of the Office of Public Guardian) (2019 – current)</w:t>
      </w:r>
    </w:p>
    <w:p w14:paraId="620F105C" w14:textId="77777777" w:rsidR="00124E26" w:rsidRPr="00F02E79" w:rsidRDefault="00124E26" w:rsidP="00124E26">
      <w:pPr>
        <w:pStyle w:val="font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02E79">
        <w:rPr>
          <w:rFonts w:ascii="Arial" w:hAnsi="Arial" w:cs="Arial"/>
          <w:b/>
          <w:bCs/>
          <w:i/>
          <w:iCs/>
          <w:sz w:val="22"/>
          <w:szCs w:val="22"/>
        </w:rPr>
        <w:t>Work History:</w:t>
      </w:r>
    </w:p>
    <w:p w14:paraId="76F39473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 xml:space="preserve">Partner, </w:t>
      </w:r>
      <w:proofErr w:type="spellStart"/>
      <w:r w:rsidRPr="00B43FAB">
        <w:rPr>
          <w:rFonts w:ascii="Arial" w:hAnsi="Arial" w:cs="Arial"/>
          <w:sz w:val="22"/>
          <w:szCs w:val="22"/>
        </w:rPr>
        <w:t>Infinitus</w:t>
      </w:r>
      <w:proofErr w:type="spellEnd"/>
      <w:r w:rsidRPr="00B43FAB">
        <w:rPr>
          <w:rFonts w:ascii="Arial" w:hAnsi="Arial" w:cs="Arial"/>
          <w:sz w:val="22"/>
          <w:szCs w:val="22"/>
        </w:rPr>
        <w:t xml:space="preserve"> Law Corporation (2009) – Commercial Litigation Practice</w:t>
      </w:r>
    </w:p>
    <w:p w14:paraId="799309B8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>Partner, Rajah &amp; Tann (2007-2008) – Commercial Litigation and Insurance Practices</w:t>
      </w:r>
    </w:p>
    <w:p w14:paraId="18E8C11F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>Partner, Harry Elias Partnership (2000-2007) – Insurance Practice</w:t>
      </w:r>
    </w:p>
    <w:p w14:paraId="34457DAE" w14:textId="77777777" w:rsidR="00124E26" w:rsidRPr="00B43FAB" w:rsidRDefault="00124E26" w:rsidP="00124E26">
      <w:pPr>
        <w:pStyle w:val="font7"/>
        <w:ind w:left="720"/>
        <w:jc w:val="both"/>
        <w:rPr>
          <w:rFonts w:ascii="Arial" w:hAnsi="Arial" w:cs="Arial"/>
          <w:sz w:val="22"/>
          <w:szCs w:val="22"/>
        </w:rPr>
      </w:pPr>
      <w:r w:rsidRPr="00B43FAB">
        <w:rPr>
          <w:rStyle w:val="wixguard"/>
          <w:rFonts w:ascii="Arial" w:hAnsi="Arial" w:cs="Arial"/>
          <w:sz w:val="22"/>
          <w:szCs w:val="22"/>
        </w:rPr>
        <w:t xml:space="preserve">Legal Associate in Darshan &amp; Partners, </w:t>
      </w:r>
      <w:proofErr w:type="spellStart"/>
      <w:r w:rsidRPr="00B43FAB">
        <w:rPr>
          <w:rStyle w:val="wixguard"/>
          <w:rFonts w:ascii="Arial" w:hAnsi="Arial" w:cs="Arial"/>
          <w:sz w:val="22"/>
          <w:szCs w:val="22"/>
        </w:rPr>
        <w:t>Karuppan</w:t>
      </w:r>
      <w:proofErr w:type="spellEnd"/>
      <w:r w:rsidRPr="00B43FAB">
        <w:rPr>
          <w:rStyle w:val="wixguard"/>
          <w:rFonts w:ascii="Arial" w:hAnsi="Arial" w:cs="Arial"/>
          <w:sz w:val="22"/>
          <w:szCs w:val="22"/>
        </w:rPr>
        <w:t xml:space="preserve"> </w:t>
      </w:r>
      <w:proofErr w:type="spellStart"/>
      <w:r w:rsidRPr="00B43FAB">
        <w:rPr>
          <w:rStyle w:val="wixguard"/>
          <w:rFonts w:ascii="Arial" w:hAnsi="Arial" w:cs="Arial"/>
          <w:sz w:val="22"/>
          <w:szCs w:val="22"/>
        </w:rPr>
        <w:t>Chettiar</w:t>
      </w:r>
      <w:proofErr w:type="spellEnd"/>
      <w:r w:rsidRPr="00B43FAB">
        <w:rPr>
          <w:rStyle w:val="wixguard"/>
          <w:rFonts w:ascii="Arial" w:hAnsi="Arial" w:cs="Arial"/>
          <w:sz w:val="22"/>
          <w:szCs w:val="22"/>
        </w:rPr>
        <w:t xml:space="preserve"> &amp; Husain / Mansur Husain &amp; Partners, Teh Yip Wong &amp; Tan / Yeo Wong &amp; </w:t>
      </w:r>
      <w:proofErr w:type="spellStart"/>
      <w:r w:rsidRPr="00B43FAB">
        <w:rPr>
          <w:rStyle w:val="wixguard"/>
          <w:rFonts w:ascii="Arial" w:hAnsi="Arial" w:cs="Arial"/>
          <w:sz w:val="22"/>
          <w:szCs w:val="22"/>
        </w:rPr>
        <w:t>Thian</w:t>
      </w:r>
      <w:proofErr w:type="spellEnd"/>
      <w:r w:rsidRPr="00B43FAB">
        <w:rPr>
          <w:rStyle w:val="wixguard"/>
          <w:rFonts w:ascii="Arial" w:hAnsi="Arial" w:cs="Arial"/>
          <w:sz w:val="22"/>
          <w:szCs w:val="22"/>
        </w:rPr>
        <w:t xml:space="preserve"> (1995-2000) – Commercial Litigation Practice</w:t>
      </w:r>
    </w:p>
    <w:p w14:paraId="74128974" w14:textId="77777777" w:rsidR="00F02E79" w:rsidRDefault="00124E26" w:rsidP="00F02E79">
      <w:pPr>
        <w:pStyle w:val="font7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02E79">
        <w:rPr>
          <w:rFonts w:ascii="Arial" w:hAnsi="Arial" w:cs="Arial"/>
          <w:b/>
          <w:bCs/>
          <w:i/>
          <w:iCs/>
          <w:sz w:val="22"/>
          <w:szCs w:val="22"/>
        </w:rPr>
        <w:t>Memberships:</w:t>
      </w:r>
      <w:r w:rsidRPr="00B43FA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F3579F" w14:textId="1B35A548" w:rsidR="00124E26" w:rsidRPr="00B43FAB" w:rsidRDefault="00124E26" w:rsidP="00F02E79">
      <w:pPr>
        <w:pStyle w:val="font7"/>
        <w:spacing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3FAB">
        <w:rPr>
          <w:rFonts w:ascii="Arial" w:hAnsi="Arial" w:cs="Arial"/>
          <w:sz w:val="22"/>
          <w:szCs w:val="22"/>
        </w:rPr>
        <w:t xml:space="preserve">Law Society of Singapore, Singapore Academy of Law, Smart Law </w:t>
      </w:r>
      <w:proofErr w:type="gramStart"/>
      <w:r w:rsidRPr="00B43FAB">
        <w:rPr>
          <w:rFonts w:ascii="Arial" w:hAnsi="Arial" w:cs="Arial"/>
          <w:sz w:val="22"/>
          <w:szCs w:val="22"/>
        </w:rPr>
        <w:t>Guild  and</w:t>
      </w:r>
      <w:proofErr w:type="gramEnd"/>
      <w:r w:rsidRPr="00B43FAB">
        <w:rPr>
          <w:rFonts w:ascii="Arial" w:hAnsi="Arial" w:cs="Arial"/>
          <w:sz w:val="22"/>
          <w:szCs w:val="22"/>
        </w:rPr>
        <w:t xml:space="preserve"> Singapore Mediation Centre.</w:t>
      </w:r>
    </w:p>
    <w:p w14:paraId="63E465C8" w14:textId="0630203B" w:rsidR="00124E26" w:rsidRPr="00F02E79" w:rsidRDefault="00124E26" w:rsidP="00F02E79">
      <w:pPr>
        <w:pStyle w:val="font7"/>
        <w:spacing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F02E79">
        <w:rPr>
          <w:rFonts w:ascii="Arial" w:hAnsi="Arial" w:cs="Arial"/>
          <w:b/>
          <w:bCs/>
          <w:i/>
          <w:iCs/>
          <w:sz w:val="22"/>
          <w:szCs w:val="22"/>
        </w:rPr>
        <w:t>Reported litigation cases</w:t>
      </w:r>
      <w:r w:rsidRPr="00F02E79">
        <w:rPr>
          <w:rFonts w:ascii="Arial" w:hAnsi="Arial" w:cs="Arial"/>
          <w:i/>
          <w:iCs/>
          <w:sz w:val="22"/>
          <w:szCs w:val="22"/>
        </w:rPr>
        <w:t>:</w:t>
      </w:r>
    </w:p>
    <w:p w14:paraId="4C21A61D" w14:textId="77777777" w:rsidR="00124E26" w:rsidRPr="00B43FAB" w:rsidRDefault="00124E26" w:rsidP="00124E26">
      <w:pPr>
        <w:pStyle w:val="font7"/>
        <w:spacing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41EE750F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 xml:space="preserve">Hua Sheng Tao v </w:t>
      </w: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Welltech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Construction Pte Ltd &amp; Anor</w:t>
      </w:r>
      <w:r w:rsidRPr="00B43FAB">
        <w:rPr>
          <w:rFonts w:ascii="Arial" w:hAnsi="Arial" w:cs="Arial"/>
          <w:sz w:val="22"/>
          <w:szCs w:val="22"/>
        </w:rPr>
        <w:t xml:space="preserve"> [2003] SGHC 28</w:t>
      </w:r>
    </w:p>
    <w:p w14:paraId="740DA81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4AF5C2C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Tan Kok Ing v Tan Swee Meng and others</w:t>
      </w:r>
      <w:r w:rsidRPr="00B43FAB">
        <w:rPr>
          <w:rFonts w:ascii="Arial" w:hAnsi="Arial" w:cs="Arial"/>
          <w:sz w:val="22"/>
          <w:szCs w:val="22"/>
        </w:rPr>
        <w:t xml:space="preserve"> [2002] SGHC 166</w:t>
      </w:r>
    </w:p>
    <w:p w14:paraId="513D6F0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3CD87419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Murugasu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Euan v Singapore Airlines Ltd</w:t>
      </w:r>
      <w:r w:rsidRPr="00B43FAB">
        <w:rPr>
          <w:rFonts w:ascii="Arial" w:hAnsi="Arial" w:cs="Arial"/>
          <w:sz w:val="22"/>
          <w:szCs w:val="22"/>
        </w:rPr>
        <w:t xml:space="preserve"> [2004] SGHC 24</w:t>
      </w:r>
    </w:p>
    <w:p w14:paraId="56EAAACA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03A6DAB5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 xml:space="preserve">Zhang </w:t>
      </w: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Yiguang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v Intergraph Systems SEA Pte Ltd</w:t>
      </w:r>
      <w:r w:rsidRPr="00B43FAB">
        <w:rPr>
          <w:rFonts w:ascii="Arial" w:hAnsi="Arial" w:cs="Arial"/>
          <w:sz w:val="22"/>
          <w:szCs w:val="22"/>
        </w:rPr>
        <w:t xml:space="preserve"> [2004] SGHC 126</w:t>
      </w:r>
    </w:p>
    <w:p w14:paraId="332104A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14BB7B25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Sie Choon Poh t/a Image Galaxy v Amara Hotel Properties Pte Ltd</w:t>
      </w:r>
      <w:r w:rsidRPr="00B43FAB">
        <w:rPr>
          <w:rFonts w:ascii="Arial" w:hAnsi="Arial" w:cs="Arial"/>
          <w:sz w:val="22"/>
          <w:szCs w:val="22"/>
        </w:rPr>
        <w:t xml:space="preserve"> [2004] SGCA 19</w:t>
      </w:r>
    </w:p>
    <w:p w14:paraId="776FE81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1B26EC2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HA and Another (Administrators of the Estate of C, deceased) v HB</w:t>
      </w:r>
      <w:r w:rsidRPr="00B43FAB">
        <w:rPr>
          <w:rFonts w:ascii="Arial" w:hAnsi="Arial" w:cs="Arial"/>
          <w:sz w:val="22"/>
          <w:szCs w:val="22"/>
        </w:rPr>
        <w:t xml:space="preserve"> [2005] SGDC 63</w:t>
      </w:r>
    </w:p>
    <w:p w14:paraId="3F3D95EA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38AD0960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 xml:space="preserve">Holiday Tours &amp; Travel Pte Ltd v Amir Sahib </w:t>
      </w:r>
      <w:proofErr w:type="gramStart"/>
      <w:r w:rsidRPr="00B43FAB">
        <w:rPr>
          <w:rFonts w:ascii="Arial" w:hAnsi="Arial" w:cs="Arial"/>
          <w:sz w:val="22"/>
          <w:szCs w:val="22"/>
          <w:u w:val="single"/>
        </w:rPr>
        <w:t>Bin</w:t>
      </w:r>
      <w:proofErr w:type="gramEnd"/>
      <w:r w:rsidRPr="00B43FAB">
        <w:rPr>
          <w:rFonts w:ascii="Arial" w:hAnsi="Arial" w:cs="Arial"/>
          <w:sz w:val="22"/>
          <w:szCs w:val="22"/>
          <w:u w:val="single"/>
        </w:rPr>
        <w:t xml:space="preserve"> Adam Sahib and Anor</w:t>
      </w:r>
      <w:r w:rsidRPr="00B43FAB">
        <w:rPr>
          <w:rFonts w:ascii="Arial" w:hAnsi="Arial" w:cs="Arial"/>
          <w:sz w:val="22"/>
          <w:szCs w:val="22"/>
        </w:rPr>
        <w:t xml:space="preserve"> [2007] SGDC 347</w:t>
      </w:r>
    </w:p>
    <w:p w14:paraId="614D79C5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744568DC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Muhammad Ali Yap v The Seafood International Market &amp; Restaurant Pte Ltd and Anor</w:t>
      </w:r>
      <w:r w:rsidRPr="00B43FAB">
        <w:rPr>
          <w:rFonts w:ascii="Arial" w:hAnsi="Arial" w:cs="Arial"/>
          <w:sz w:val="22"/>
          <w:szCs w:val="22"/>
        </w:rPr>
        <w:t xml:space="preserve"> [2007] SGMC 20</w:t>
      </w:r>
    </w:p>
    <w:p w14:paraId="25D4A826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6A4386C1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Main-Line Corporate Holdings Ltd v United Overseas Bank Ltd</w:t>
      </w:r>
      <w:r w:rsidRPr="00B43FAB">
        <w:rPr>
          <w:rFonts w:ascii="Arial" w:hAnsi="Arial" w:cs="Arial"/>
          <w:sz w:val="22"/>
          <w:szCs w:val="22"/>
        </w:rPr>
        <w:t xml:space="preserve"> [2010] SGCA 9</w:t>
      </w:r>
    </w:p>
    <w:p w14:paraId="3B9588DC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72B0253A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>SHC Capital Ltd v NTUC Income Insurance Co-operative Ltd</w:t>
      </w:r>
      <w:r w:rsidRPr="00B43FAB">
        <w:rPr>
          <w:rFonts w:ascii="Arial" w:hAnsi="Arial" w:cs="Arial"/>
          <w:sz w:val="22"/>
          <w:szCs w:val="22"/>
        </w:rPr>
        <w:t xml:space="preserve"> [2010] SGHC 224</w:t>
      </w:r>
    </w:p>
    <w:p w14:paraId="6A9122F2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5CF687F0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lastRenderedPageBreak/>
        <w:t xml:space="preserve">Out of the Box Pte Ltd v </w:t>
      </w: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Wanin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Industries Pte Ltd</w:t>
      </w:r>
      <w:r w:rsidRPr="00B43FAB">
        <w:rPr>
          <w:rFonts w:ascii="Arial" w:hAnsi="Arial" w:cs="Arial"/>
          <w:sz w:val="22"/>
          <w:szCs w:val="22"/>
        </w:rPr>
        <w:t xml:space="preserve"> [2011] SGHC 226</w:t>
      </w:r>
    </w:p>
    <w:p w14:paraId="78C9DCD9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732A68CA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Kua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Hui Li v Prosper Credit Pte Ltd</w:t>
      </w:r>
      <w:r w:rsidRPr="00B43FAB">
        <w:rPr>
          <w:rFonts w:ascii="Arial" w:hAnsi="Arial" w:cs="Arial"/>
          <w:sz w:val="22"/>
          <w:szCs w:val="22"/>
        </w:rPr>
        <w:t xml:space="preserve"> [2014] SGHC 108</w:t>
      </w:r>
    </w:p>
    <w:p w14:paraId="3D03063E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p w14:paraId="381351EA" w14:textId="77777777" w:rsidR="00124E26" w:rsidRPr="00B43FAB" w:rsidRDefault="00124E26" w:rsidP="00124E26">
      <w:pPr>
        <w:pStyle w:val="font7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  <w:r w:rsidRPr="00B43FAB">
        <w:rPr>
          <w:rFonts w:ascii="Arial" w:hAnsi="Arial" w:cs="Arial"/>
          <w:sz w:val="22"/>
          <w:szCs w:val="22"/>
          <w:u w:val="single"/>
        </w:rPr>
        <w:t xml:space="preserve">Heament Kurian v Lian Foo </w:t>
      </w:r>
      <w:proofErr w:type="spellStart"/>
      <w:r w:rsidRPr="00B43FAB">
        <w:rPr>
          <w:rFonts w:ascii="Arial" w:hAnsi="Arial" w:cs="Arial"/>
          <w:sz w:val="22"/>
          <w:szCs w:val="22"/>
          <w:u w:val="single"/>
        </w:rPr>
        <w:t>Kuan</w:t>
      </w:r>
      <w:proofErr w:type="spellEnd"/>
      <w:r w:rsidRPr="00B43FAB">
        <w:rPr>
          <w:rFonts w:ascii="Arial" w:hAnsi="Arial" w:cs="Arial"/>
          <w:sz w:val="22"/>
          <w:szCs w:val="22"/>
          <w:u w:val="single"/>
        </w:rPr>
        <w:t xml:space="preserve"> David</w:t>
      </w:r>
      <w:r w:rsidRPr="00B43FAB">
        <w:rPr>
          <w:rFonts w:ascii="Arial" w:hAnsi="Arial" w:cs="Arial"/>
          <w:sz w:val="22"/>
          <w:szCs w:val="22"/>
        </w:rPr>
        <w:t xml:space="preserve"> [2016] SGH 43</w:t>
      </w:r>
    </w:p>
    <w:p w14:paraId="583A4C3B" w14:textId="77777777" w:rsidR="00124E26" w:rsidRPr="00B43FAB" w:rsidRDefault="00124E26" w:rsidP="00124E26">
      <w:pPr>
        <w:pStyle w:val="font7"/>
        <w:spacing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25DE9BB2" w14:textId="77777777" w:rsidR="002B3240" w:rsidRPr="00B43FAB" w:rsidRDefault="002B3240">
      <w:pPr>
        <w:rPr>
          <w:rFonts w:ascii="Arial" w:hAnsi="Arial" w:cs="Arial"/>
        </w:rPr>
      </w:pPr>
    </w:p>
    <w:sectPr w:rsidR="002B3240" w:rsidRPr="00B4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6"/>
    <w:rsid w:val="00124E26"/>
    <w:rsid w:val="00241496"/>
    <w:rsid w:val="002B3240"/>
    <w:rsid w:val="00B43FAB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696C"/>
  <w15:chartTrackingRefBased/>
  <w15:docId w15:val="{A48504DD-6EB2-412C-A394-A26A8448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guard">
    <w:name w:val="wixguard"/>
    <w:basedOn w:val="DefaultParagraphFont"/>
    <w:rsid w:val="00124E26"/>
  </w:style>
  <w:style w:type="paragraph" w:customStyle="1" w:styleId="font7">
    <w:name w:val="font_7"/>
    <w:basedOn w:val="Normal"/>
    <w:rsid w:val="001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Chong</dc:creator>
  <cp:keywords/>
  <dc:description/>
  <cp:lastModifiedBy>David Caruso</cp:lastModifiedBy>
  <cp:revision>2</cp:revision>
  <dcterms:created xsi:type="dcterms:W3CDTF">2020-07-20T17:33:00Z</dcterms:created>
  <dcterms:modified xsi:type="dcterms:W3CDTF">2020-07-20T17:33:00Z</dcterms:modified>
</cp:coreProperties>
</file>